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7C" w:rsidRPr="0067642A" w:rsidRDefault="00B00B7C" w:rsidP="00FA702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67642A">
        <w:rPr>
          <w:rFonts w:ascii="Arial" w:hAnsi="Arial"/>
          <w:b/>
          <w:sz w:val="22"/>
          <w:szCs w:val="22"/>
        </w:rPr>
        <w:t>Concurso de Docentes Auxiliares</w:t>
      </w:r>
    </w:p>
    <w:p w:rsidR="00B00B7C" w:rsidRPr="0067642A" w:rsidRDefault="00B00B7C" w:rsidP="00FA702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67642A">
        <w:rPr>
          <w:rFonts w:ascii="Arial" w:hAnsi="Arial"/>
          <w:b/>
          <w:sz w:val="22"/>
          <w:szCs w:val="22"/>
        </w:rPr>
        <w:t>Ayudante de Primera Simple 2016</w:t>
      </w:r>
    </w:p>
    <w:p w:rsidR="00B00B7C" w:rsidRPr="0067642A" w:rsidRDefault="00B00B7C" w:rsidP="00FA702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67642A">
        <w:rPr>
          <w:rFonts w:ascii="Arial" w:hAnsi="Arial"/>
          <w:b/>
          <w:sz w:val="22"/>
          <w:szCs w:val="22"/>
        </w:rPr>
        <w:t>Departamento de Fisiología, Biología Molecular y Celular</w:t>
      </w:r>
    </w:p>
    <w:p w:rsidR="00B00B7C" w:rsidRPr="0067642A" w:rsidRDefault="00B00B7C" w:rsidP="00FA702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67642A">
        <w:rPr>
          <w:rFonts w:ascii="Arial" w:hAnsi="Arial"/>
          <w:b/>
          <w:sz w:val="22"/>
          <w:szCs w:val="22"/>
        </w:rPr>
        <w:t>Área Biotecnología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67642A">
        <w:rPr>
          <w:rFonts w:ascii="Arial" w:hAnsi="Arial"/>
          <w:b/>
          <w:sz w:val="22"/>
          <w:szCs w:val="22"/>
          <w:u w:val="single"/>
        </w:rPr>
        <w:t>DICTAMEN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67642A">
        <w:rPr>
          <w:rFonts w:ascii="Arial" w:hAnsi="Arial"/>
          <w:sz w:val="22"/>
          <w:szCs w:val="22"/>
        </w:rPr>
        <w:tab/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67642A">
        <w:rPr>
          <w:rFonts w:ascii="Arial" w:hAnsi="Arial"/>
          <w:sz w:val="22"/>
          <w:szCs w:val="22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67642A">
          <w:rPr>
            <w:rFonts w:ascii="Arial" w:hAnsi="Arial"/>
            <w:sz w:val="22"/>
            <w:szCs w:val="22"/>
          </w:rPr>
          <w:t>la Ciudad</w:t>
        </w:r>
      </w:smartTag>
      <w:r w:rsidRPr="0067642A">
        <w:rPr>
          <w:rFonts w:ascii="Arial" w:hAnsi="Arial"/>
          <w:sz w:val="22"/>
          <w:szCs w:val="22"/>
        </w:rPr>
        <w:t xml:space="preserve"> de Buenos Aires, a los </w:t>
      </w:r>
      <w:r>
        <w:rPr>
          <w:rFonts w:ascii="Arial" w:hAnsi="Arial"/>
          <w:sz w:val="22"/>
          <w:szCs w:val="22"/>
        </w:rPr>
        <w:t>4 días</w:t>
      </w:r>
      <w:r w:rsidRPr="0067642A">
        <w:rPr>
          <w:rFonts w:ascii="Arial" w:hAnsi="Arial"/>
          <w:sz w:val="22"/>
          <w:szCs w:val="22"/>
        </w:rPr>
        <w:t xml:space="preserve"> del mes de Julio de 2016 se reúne el Jurado integrado por </w:t>
      </w:r>
      <w:r w:rsidRPr="0067642A">
        <w:rPr>
          <w:rFonts w:ascii="Arial" w:hAnsi="Arial"/>
          <w:sz w:val="22"/>
          <w:szCs w:val="22"/>
          <w:lang w:val="es-AR"/>
        </w:rPr>
        <w:t>Ruth Amelia Heinz, Laura Kamenetzky y Natalia Rubinstein</w:t>
      </w:r>
      <w:r w:rsidRPr="0067642A">
        <w:rPr>
          <w:rFonts w:ascii="Arial" w:hAnsi="Arial"/>
          <w:sz w:val="22"/>
          <w:szCs w:val="22"/>
        </w:rPr>
        <w:t>, que entiende en el concurso para proveer 4 cargos de Ayudantes de Primera Dedicación Simple en el Departamento de Fisiología, Biología Molecular y Cel</w:t>
      </w:r>
      <w:r>
        <w:rPr>
          <w:rFonts w:ascii="Arial" w:hAnsi="Arial"/>
          <w:sz w:val="22"/>
          <w:szCs w:val="22"/>
        </w:rPr>
        <w:t>ular, sustanciado</w:t>
      </w:r>
      <w:r w:rsidRPr="0067642A">
        <w:rPr>
          <w:rFonts w:ascii="Arial" w:hAnsi="Arial"/>
          <w:sz w:val="22"/>
          <w:szCs w:val="22"/>
        </w:rPr>
        <w:t xml:space="preserve"> </w:t>
      </w:r>
      <w:r w:rsidRPr="0067642A">
        <w:rPr>
          <w:rFonts w:ascii="Arial" w:hAnsi="Arial"/>
          <w:sz w:val="22"/>
          <w:szCs w:val="22"/>
          <w:lang w:val="es-ES_tradnl" w:eastAsia="en-US"/>
        </w:rPr>
        <w:t>según resolución D Nº 0476/16 (EXPEDIENTE Nº 505.799/16)</w:t>
      </w:r>
      <w:r>
        <w:rPr>
          <w:rFonts w:ascii="Arial" w:hAnsi="Arial"/>
          <w:sz w:val="22"/>
          <w:szCs w:val="22"/>
          <w:lang w:val="es-ES_tradnl" w:eastAsia="en-US"/>
        </w:rPr>
        <w:t xml:space="preserve"> </w:t>
      </w:r>
      <w:r w:rsidRPr="0067642A">
        <w:rPr>
          <w:rFonts w:ascii="Arial" w:hAnsi="Arial"/>
          <w:sz w:val="22"/>
          <w:szCs w:val="22"/>
        </w:rPr>
        <w:t>área Biotecnología, para emitir dictamen de acuerdo con el Reglamento de Provisión de cargos de Docentes auxiliares en vigencia.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sz w:val="22"/>
          <w:szCs w:val="22"/>
          <w:lang w:val="es-AR"/>
        </w:rPr>
        <w:t>Antes de tomar conocimiento de los antecedentes de los postulantes, el Jurado asignó los puntajes correspondientes a cada ítem según se detalla a continuación: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W w:w="3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37"/>
      </w:tblGrid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b/>
                <w:lang w:val="es-ES_tradnl"/>
              </w:rPr>
            </w:pPr>
            <w:r w:rsidRPr="0067642A">
              <w:rPr>
                <w:rFonts w:ascii="Arial" w:hAnsi="Arial"/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b/>
                <w:lang w:val="es-ES_tradnl"/>
              </w:rPr>
            </w:pPr>
            <w:r w:rsidRPr="0067642A">
              <w:rPr>
                <w:rFonts w:ascii="Arial" w:hAnsi="Arial"/>
                <w:b/>
                <w:sz w:val="22"/>
                <w:szCs w:val="22"/>
                <w:lang w:val="es-ES_tradnl"/>
              </w:rPr>
              <w:t>Dedicación Parcial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1. Docentes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20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2. Científicos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10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3. Extensión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5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4. Profesionales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15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5. Oposición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45</w:t>
            </w:r>
          </w:p>
        </w:tc>
      </w:tr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6. Otros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 w:rsidRPr="0067642A">
              <w:rPr>
                <w:rFonts w:ascii="Arial" w:hAnsi="Arial"/>
                <w:sz w:val="22"/>
                <w:szCs w:val="22"/>
                <w:lang w:val="es-ES_tradnl"/>
              </w:rPr>
              <w:t>5</w:t>
            </w:r>
          </w:p>
        </w:tc>
      </w:tr>
    </w:tbl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sz w:val="22"/>
          <w:szCs w:val="22"/>
          <w:lang w:val="es-AR"/>
        </w:rPr>
        <w:t>La prueba de oposición consistió en la expl</w:t>
      </w:r>
      <w:r>
        <w:rPr>
          <w:rFonts w:ascii="Arial" w:hAnsi="Arial"/>
          <w:sz w:val="22"/>
          <w:szCs w:val="22"/>
          <w:lang w:val="es-AR"/>
        </w:rPr>
        <w:t>icación de uno de los</w:t>
      </w:r>
      <w:r w:rsidRPr="0067642A">
        <w:rPr>
          <w:rFonts w:ascii="Arial" w:hAnsi="Arial"/>
          <w:sz w:val="22"/>
          <w:szCs w:val="22"/>
          <w:lang w:val="es-AR"/>
        </w:rPr>
        <w:t xml:space="preserve"> trabajos prácticos de las siguientes materias: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7642A">
        <w:rPr>
          <w:rFonts w:ascii="Arial" w:hAnsi="Arial"/>
          <w:sz w:val="22"/>
          <w:szCs w:val="22"/>
          <w:lang w:val="es-ES_tradnl"/>
        </w:rPr>
        <w:t>Genómica Aplicada, Guía de TP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7642A">
        <w:rPr>
          <w:rFonts w:ascii="Arial" w:hAnsi="Arial"/>
          <w:sz w:val="22"/>
          <w:szCs w:val="22"/>
          <w:lang w:val="es-ES_tradnl"/>
        </w:rPr>
        <w:t>TP 12: Interactómica: estudio de las interacciones proteína-proteína</w:t>
      </w:r>
      <w:r>
        <w:rPr>
          <w:rFonts w:ascii="Arial" w:hAnsi="Arial"/>
          <w:sz w:val="22"/>
          <w:szCs w:val="22"/>
          <w:lang w:val="es-ES_tradnl"/>
        </w:rPr>
        <w:t>.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7642A">
        <w:rPr>
          <w:rFonts w:ascii="Arial" w:hAnsi="Arial"/>
          <w:sz w:val="22"/>
          <w:szCs w:val="22"/>
          <w:lang w:val="es-ES_tradnl"/>
        </w:rPr>
        <w:t>TP 11: PCR en Tiempo Real</w:t>
      </w:r>
      <w:r>
        <w:rPr>
          <w:rFonts w:ascii="Arial" w:hAnsi="Arial"/>
          <w:sz w:val="22"/>
          <w:szCs w:val="22"/>
          <w:lang w:val="es-ES_tradnl"/>
        </w:rPr>
        <w:t>.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7642A">
        <w:rPr>
          <w:rFonts w:ascii="Arial" w:hAnsi="Arial"/>
          <w:sz w:val="22"/>
          <w:szCs w:val="22"/>
          <w:lang w:val="es-ES_tradnl"/>
        </w:rPr>
        <w:t>Agrobiotecnología, Guía de TP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bCs/>
          <w:sz w:val="22"/>
          <w:szCs w:val="22"/>
          <w:lang w:val="es-ES_tradnl"/>
        </w:rPr>
      </w:pPr>
      <w:r w:rsidRPr="0067642A">
        <w:rPr>
          <w:rFonts w:ascii="Arial" w:hAnsi="Arial"/>
          <w:bCs/>
          <w:sz w:val="22"/>
          <w:szCs w:val="22"/>
          <w:lang w:val="es-ES_tradnl"/>
        </w:rPr>
        <w:t xml:space="preserve">TP4: Expresión transitoria de proteínas en </w:t>
      </w:r>
      <w:r>
        <w:rPr>
          <w:rFonts w:ascii="Arial" w:hAnsi="Arial"/>
          <w:bCs/>
          <w:i/>
          <w:iCs/>
          <w:sz w:val="22"/>
          <w:szCs w:val="22"/>
          <w:lang w:val="es-ES_tradnl"/>
        </w:rPr>
        <w:t>N</w:t>
      </w:r>
      <w:r w:rsidRPr="0067642A">
        <w:rPr>
          <w:rFonts w:ascii="Arial" w:hAnsi="Arial"/>
          <w:bCs/>
          <w:i/>
          <w:iCs/>
          <w:sz w:val="22"/>
          <w:szCs w:val="22"/>
          <w:lang w:val="es-ES_tradnl"/>
        </w:rPr>
        <w:t>icotiana</w:t>
      </w:r>
      <w:r>
        <w:rPr>
          <w:rFonts w:ascii="Arial" w:hAnsi="Arial"/>
          <w:bCs/>
          <w:i/>
          <w:iCs/>
          <w:sz w:val="22"/>
          <w:szCs w:val="22"/>
          <w:lang w:val="es-ES_tradnl"/>
        </w:rPr>
        <w:t xml:space="preserve"> </w:t>
      </w:r>
      <w:r w:rsidRPr="0067642A">
        <w:rPr>
          <w:rFonts w:ascii="Arial" w:hAnsi="Arial"/>
          <w:bCs/>
          <w:i/>
          <w:iCs/>
          <w:sz w:val="22"/>
          <w:szCs w:val="22"/>
          <w:lang w:val="es-ES_tradnl"/>
        </w:rPr>
        <w:t>benthamiana</w:t>
      </w:r>
      <w:r>
        <w:rPr>
          <w:rFonts w:ascii="Arial" w:hAnsi="Arial"/>
          <w:bCs/>
          <w:i/>
          <w:iCs/>
          <w:sz w:val="22"/>
          <w:szCs w:val="22"/>
          <w:lang w:val="es-ES_tradnl"/>
        </w:rPr>
        <w:t xml:space="preserve"> </w:t>
      </w:r>
      <w:r w:rsidRPr="0067642A">
        <w:rPr>
          <w:rFonts w:ascii="Arial" w:hAnsi="Arial"/>
          <w:bCs/>
          <w:sz w:val="22"/>
          <w:szCs w:val="22"/>
          <w:lang w:val="es-ES_tradnl"/>
        </w:rPr>
        <w:t>por agroinfiltración</w:t>
      </w:r>
      <w:r>
        <w:rPr>
          <w:rFonts w:ascii="Arial" w:hAnsi="Arial"/>
          <w:bCs/>
          <w:sz w:val="22"/>
          <w:szCs w:val="22"/>
          <w:lang w:val="es-ES_tradnl"/>
        </w:rPr>
        <w:t>.</w:t>
      </w:r>
    </w:p>
    <w:p w:rsidR="00B00B7C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sz w:val="22"/>
          <w:szCs w:val="22"/>
          <w:lang w:val="es-AR"/>
        </w:rPr>
        <w:t xml:space="preserve">La explicación debía ser presentada como si fuera una clase destinada a alumnos de las respectivas materias. El orden en que se llevaron a cabo las exposiciones fue aleatorio. 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pStyle w:val="Textoindependiente"/>
        <w:spacing w:line="276" w:lineRule="auto"/>
        <w:rPr>
          <w:rFonts w:ascii="Arial" w:hAnsi="Arial"/>
          <w:b w:val="0"/>
          <w:szCs w:val="22"/>
        </w:rPr>
      </w:pPr>
      <w:r w:rsidRPr="0067642A">
        <w:rPr>
          <w:rFonts w:ascii="Arial" w:hAnsi="Arial"/>
          <w:b w:val="0"/>
          <w:szCs w:val="22"/>
        </w:rPr>
        <w:t xml:space="preserve">Se permitió rendir la prueba de oposición a los postulantes que se presentaron el día 28 de Junio a las 9 am, momento en el cual se tomó asistencia y se confeccionó la lista de horarios para la exposición. </w:t>
      </w:r>
    </w:p>
    <w:p w:rsidR="00B00B7C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2423C8" w:rsidRDefault="00B00B7C" w:rsidP="0078051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Para la evaluación de antecedentes s</w:t>
      </w:r>
      <w:r w:rsidRPr="0078051D">
        <w:rPr>
          <w:rFonts w:ascii="Arial" w:hAnsi="Arial" w:cs="Arial"/>
          <w:sz w:val="22"/>
          <w:szCs w:val="22"/>
          <w:lang w:val="es-AR"/>
        </w:rPr>
        <w:t>e consideraron los último</w:t>
      </w:r>
      <w:r>
        <w:rPr>
          <w:rFonts w:ascii="Arial" w:hAnsi="Arial" w:cs="Arial"/>
          <w:sz w:val="22"/>
          <w:szCs w:val="22"/>
          <w:lang w:val="es-AR"/>
        </w:rPr>
        <w:t>s</w:t>
      </w:r>
      <w:r w:rsidRPr="0078051D">
        <w:rPr>
          <w:rFonts w:ascii="Arial" w:hAnsi="Arial" w:cs="Arial"/>
          <w:sz w:val="22"/>
          <w:szCs w:val="22"/>
          <w:lang w:val="es-AR"/>
        </w:rPr>
        <w:t xml:space="preserve"> 5 años (2011-2016)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A401EF">
        <w:rPr>
          <w:rFonts w:ascii="Arial" w:hAnsi="Arial" w:cs="Arial"/>
          <w:sz w:val="22"/>
          <w:szCs w:val="22"/>
          <w:lang w:val="es-AR"/>
        </w:rPr>
        <w:t xml:space="preserve">declarados </w:t>
      </w:r>
      <w:r w:rsidRPr="002423C8">
        <w:rPr>
          <w:rFonts w:ascii="Arial" w:hAnsi="Arial" w:cs="Arial"/>
          <w:sz w:val="22"/>
          <w:szCs w:val="22"/>
          <w:lang w:val="es-ES_tradnl"/>
        </w:rPr>
        <w:t xml:space="preserve">al momento de la inscripción. </w:t>
      </w:r>
    </w:p>
    <w:p w:rsidR="00B00B7C" w:rsidRPr="007A3DC0" w:rsidRDefault="00B00B7C" w:rsidP="0078051D">
      <w:pPr>
        <w:jc w:val="both"/>
        <w:rPr>
          <w:rFonts w:ascii="Cambria" w:hAnsi="Cambria"/>
          <w:lang w:val="es-ES_tradnl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sz w:val="22"/>
          <w:szCs w:val="22"/>
          <w:lang w:val="es-AR"/>
        </w:rPr>
        <w:lastRenderedPageBreak/>
        <w:t>Los criterios utilizados para la asignación de puntajes fueron los siguientes (puntajes máximos):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Antecedentes Docentes (20): </w:t>
      </w:r>
      <w:r w:rsidRPr="0067642A">
        <w:rPr>
          <w:rFonts w:ascii="Arial" w:hAnsi="Arial"/>
          <w:sz w:val="22"/>
          <w:szCs w:val="22"/>
          <w:lang w:val="es-AR"/>
        </w:rPr>
        <w:t xml:space="preserve">Se tomaron en cuenta los cargos docentes en </w:t>
      </w:r>
      <w:smartTag w:uri="urn:schemas-microsoft-com:office:smarttags" w:element="PersonName">
        <w:smartTagPr>
          <w:attr w:name="ProductID" w:val="la UBA"/>
        </w:smartTagPr>
        <w:r w:rsidRPr="0067642A">
          <w:rPr>
            <w:rFonts w:ascii="Arial" w:hAnsi="Arial"/>
            <w:sz w:val="22"/>
            <w:szCs w:val="22"/>
            <w:lang w:val="es-AR"/>
          </w:rPr>
          <w:t>la FCEyN</w:t>
        </w:r>
      </w:smartTag>
      <w:r w:rsidRPr="0067642A">
        <w:rPr>
          <w:rFonts w:ascii="Arial" w:hAnsi="Arial"/>
          <w:sz w:val="22"/>
          <w:szCs w:val="22"/>
          <w:lang w:val="es-AR"/>
        </w:rPr>
        <w:t xml:space="preserve">, otras facultades de </w:t>
      </w:r>
      <w:smartTag w:uri="urn:schemas-microsoft-com:office:smarttags" w:element="PersonName">
        <w:smartTagPr>
          <w:attr w:name="ProductID" w:val="la UBA"/>
        </w:smartTagPr>
        <w:r w:rsidRPr="0067642A">
          <w:rPr>
            <w:rFonts w:ascii="Arial" w:hAnsi="Arial"/>
            <w:sz w:val="22"/>
            <w:szCs w:val="22"/>
            <w:lang w:val="es-AR"/>
          </w:rPr>
          <w:t>la UBA</w:t>
        </w:r>
      </w:smartTag>
      <w:r w:rsidRPr="0067642A">
        <w:rPr>
          <w:rFonts w:ascii="Arial" w:hAnsi="Arial"/>
          <w:sz w:val="22"/>
          <w:szCs w:val="22"/>
          <w:lang w:val="es-AR"/>
        </w:rPr>
        <w:t>/Universidades nacionales, universidades privadas, instituciones medias o terciarias</w:t>
      </w:r>
      <w:r>
        <w:rPr>
          <w:rFonts w:ascii="Arial" w:hAnsi="Arial"/>
          <w:sz w:val="22"/>
          <w:szCs w:val="22"/>
          <w:lang w:val="es-AR"/>
        </w:rPr>
        <w:t xml:space="preserve">, </w:t>
      </w:r>
      <w:r w:rsidRPr="0067642A">
        <w:rPr>
          <w:rFonts w:ascii="Arial" w:hAnsi="Arial"/>
          <w:sz w:val="22"/>
          <w:szCs w:val="22"/>
          <w:lang w:val="es-AR"/>
        </w:rPr>
        <w:t>y cursos de perfeccionamiento docente.</w:t>
      </w:r>
      <w:r>
        <w:rPr>
          <w:rFonts w:ascii="Arial" w:hAnsi="Arial"/>
          <w:sz w:val="22"/>
          <w:szCs w:val="22"/>
          <w:lang w:val="es-AR"/>
        </w:rPr>
        <w:t xml:space="preserve"> El ítem antigüedad docente se consideró saturado con 3 cuatrimestres de docencia. 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color w:val="FF0000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Antecedentes Científicos (10): </w:t>
      </w:r>
      <w:r w:rsidRPr="0067642A">
        <w:rPr>
          <w:rFonts w:ascii="Arial" w:hAnsi="Arial"/>
          <w:sz w:val="22"/>
          <w:szCs w:val="22"/>
          <w:lang w:val="es-AR"/>
        </w:rPr>
        <w:t xml:space="preserve">Se consideraron las publicaciones con referato, las presentaciones  </w:t>
      </w:r>
      <w:r>
        <w:rPr>
          <w:rFonts w:ascii="Arial" w:hAnsi="Arial"/>
          <w:sz w:val="22"/>
          <w:szCs w:val="22"/>
          <w:lang w:val="es-AR"/>
        </w:rPr>
        <w:t xml:space="preserve">en </w:t>
      </w:r>
      <w:r w:rsidRPr="0067642A">
        <w:rPr>
          <w:rFonts w:ascii="Arial" w:hAnsi="Arial"/>
          <w:sz w:val="22"/>
          <w:szCs w:val="22"/>
          <w:lang w:val="es-AR"/>
        </w:rPr>
        <w:t xml:space="preserve">congresos científicos, pasantías, </w:t>
      </w:r>
      <w:r>
        <w:rPr>
          <w:rFonts w:ascii="Arial" w:hAnsi="Arial"/>
          <w:sz w:val="22"/>
          <w:szCs w:val="22"/>
          <w:lang w:val="es-AR"/>
        </w:rPr>
        <w:t>inscripción al doctorado, años de doctorado (para los postulantes no doctorados), becas, post doctorados, carrera de investigador</w:t>
      </w:r>
      <w:r w:rsidRPr="0067642A">
        <w:rPr>
          <w:rFonts w:ascii="Arial" w:hAnsi="Arial"/>
          <w:sz w:val="22"/>
          <w:szCs w:val="22"/>
          <w:lang w:val="es-AR"/>
        </w:rPr>
        <w:t>,</w:t>
      </w:r>
      <w:r>
        <w:rPr>
          <w:rFonts w:ascii="Arial" w:hAnsi="Arial"/>
          <w:sz w:val="22"/>
          <w:szCs w:val="22"/>
          <w:lang w:val="es-AR"/>
        </w:rPr>
        <w:t xml:space="preserve"> dirección de tesis o subsidios</w:t>
      </w:r>
      <w:r w:rsidRPr="0067642A">
        <w:rPr>
          <w:rFonts w:ascii="Arial" w:hAnsi="Arial"/>
          <w:sz w:val="22"/>
          <w:szCs w:val="22"/>
          <w:lang w:val="es-AR"/>
        </w:rPr>
        <w:t>.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Antecedentes de Extensión (5): </w:t>
      </w:r>
      <w:r w:rsidRPr="0067642A">
        <w:rPr>
          <w:rFonts w:ascii="Arial" w:hAnsi="Arial"/>
          <w:sz w:val="22"/>
          <w:szCs w:val="22"/>
          <w:lang w:val="es-AR"/>
        </w:rPr>
        <w:t xml:space="preserve">Se consideraron la participación en proyectos de extensión universitaria, actividades de divulgación científica y participación en actividades de articulación con otros niveles educativos. 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Antecedentes Profesionales (15): </w:t>
      </w:r>
      <w:r w:rsidRPr="0067642A">
        <w:rPr>
          <w:rFonts w:ascii="Arial" w:hAnsi="Arial"/>
          <w:sz w:val="22"/>
          <w:szCs w:val="22"/>
          <w:lang w:val="es-AR"/>
        </w:rPr>
        <w:t>Se consideraron las actividades profesionales de desarrollo tecnológico o de transferencia entre el sector científico y product</w:t>
      </w:r>
      <w:r>
        <w:rPr>
          <w:rFonts w:ascii="Arial" w:hAnsi="Arial"/>
          <w:sz w:val="22"/>
          <w:szCs w:val="22"/>
          <w:lang w:val="es-AR"/>
        </w:rPr>
        <w:t>ivo, fuera del ámbito académico</w:t>
      </w:r>
      <w:r w:rsidRPr="0067642A">
        <w:rPr>
          <w:rFonts w:ascii="Arial" w:hAnsi="Arial"/>
          <w:sz w:val="22"/>
          <w:szCs w:val="22"/>
          <w:lang w:val="es-AR"/>
        </w:rPr>
        <w:t>.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shd w:val="clear" w:color="auto" w:fill="00FFFF"/>
          <w:lang w:val="es-AR"/>
        </w:rPr>
      </w:pP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Otros antecedentes (5): </w:t>
      </w:r>
      <w:r w:rsidRPr="0067642A">
        <w:rPr>
          <w:rFonts w:ascii="Arial" w:hAnsi="Arial"/>
          <w:sz w:val="22"/>
          <w:szCs w:val="22"/>
          <w:lang w:val="es-AR"/>
        </w:rPr>
        <w:t>Se consideraron el promedio de calificaciones de la carrera</w:t>
      </w:r>
      <w:r w:rsidRPr="0067642A">
        <w:rPr>
          <w:rFonts w:ascii="Arial" w:hAnsi="Arial"/>
          <w:color w:val="000000"/>
          <w:sz w:val="22"/>
          <w:szCs w:val="22"/>
          <w:lang w:val="es-AR"/>
        </w:rPr>
        <w:t xml:space="preserve">, </w:t>
      </w:r>
      <w:r>
        <w:rPr>
          <w:rFonts w:ascii="Arial" w:hAnsi="Arial"/>
          <w:sz w:val="22"/>
          <w:szCs w:val="22"/>
          <w:lang w:val="es-AR"/>
        </w:rPr>
        <w:t xml:space="preserve">títulos de grado y postgrado, premios </w:t>
      </w:r>
      <w:r w:rsidRPr="0067642A">
        <w:rPr>
          <w:rFonts w:ascii="Arial" w:hAnsi="Arial"/>
          <w:sz w:val="22"/>
          <w:szCs w:val="22"/>
          <w:lang w:val="es-AR"/>
        </w:rPr>
        <w:t>y distinciones obtenidas</w:t>
      </w:r>
      <w:r>
        <w:rPr>
          <w:rFonts w:ascii="Arial" w:hAnsi="Arial"/>
          <w:sz w:val="22"/>
          <w:szCs w:val="22"/>
          <w:lang w:val="es-AR"/>
        </w:rPr>
        <w:t xml:space="preserve">, </w:t>
      </w:r>
      <w:r w:rsidRPr="0067642A">
        <w:rPr>
          <w:rFonts w:ascii="Arial" w:hAnsi="Arial"/>
          <w:color w:val="000000"/>
          <w:sz w:val="22"/>
          <w:szCs w:val="22"/>
          <w:lang w:val="es-AR"/>
        </w:rPr>
        <w:t>cursos de idiomas</w:t>
      </w:r>
      <w:r w:rsidRPr="0067642A">
        <w:rPr>
          <w:rFonts w:ascii="Arial" w:hAnsi="Arial"/>
          <w:sz w:val="22"/>
          <w:szCs w:val="22"/>
          <w:lang w:val="es-AR"/>
        </w:rPr>
        <w:t>. En cuanto a gestión universitaria, se consideraron las actividades como veedor de concursos, participación en comisiones universitarias, consejos departamentales y directivo.</w:t>
      </w:r>
    </w:p>
    <w:p w:rsidR="00B00B7C" w:rsidRPr="0067642A" w:rsidRDefault="00B00B7C" w:rsidP="0067642A">
      <w:p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  <w:lang w:val="es-AR"/>
        </w:rPr>
      </w:pPr>
      <w:r w:rsidRPr="0067642A">
        <w:rPr>
          <w:rFonts w:ascii="Arial" w:hAnsi="Arial"/>
          <w:b/>
          <w:sz w:val="22"/>
          <w:szCs w:val="22"/>
          <w:lang w:val="es-AR"/>
        </w:rPr>
        <w:t xml:space="preserve">Prueba de oposición (45): </w:t>
      </w:r>
      <w:r w:rsidRPr="0067642A">
        <w:rPr>
          <w:rFonts w:ascii="Arial" w:hAnsi="Arial"/>
          <w:sz w:val="22"/>
          <w:szCs w:val="22"/>
          <w:lang w:val="es-AR"/>
        </w:rPr>
        <w:t>Se evaluó la capacidad de transmitir conceptos fundamentales</w:t>
      </w:r>
      <w:r>
        <w:rPr>
          <w:rFonts w:ascii="Arial" w:hAnsi="Arial"/>
          <w:sz w:val="22"/>
          <w:szCs w:val="22"/>
          <w:lang w:val="es-AR"/>
        </w:rPr>
        <w:t xml:space="preserve">, </w:t>
      </w:r>
      <w:r w:rsidRPr="0067642A">
        <w:rPr>
          <w:rFonts w:ascii="Arial" w:hAnsi="Arial"/>
          <w:sz w:val="22"/>
          <w:szCs w:val="22"/>
          <w:lang w:val="es-AR"/>
        </w:rPr>
        <w:t xml:space="preserve"> la claridad expositiva</w:t>
      </w:r>
      <w:r>
        <w:rPr>
          <w:rFonts w:ascii="Arial" w:hAnsi="Arial"/>
          <w:sz w:val="22"/>
          <w:szCs w:val="22"/>
          <w:lang w:val="es-AR"/>
        </w:rPr>
        <w:t>, organización del discurso, utilización del tiempo y recursos didácticos,</w:t>
      </w:r>
      <w:r w:rsidRPr="0067642A">
        <w:rPr>
          <w:rFonts w:ascii="Arial" w:hAnsi="Arial"/>
          <w:sz w:val="22"/>
          <w:szCs w:val="22"/>
          <w:lang w:val="es-AR"/>
        </w:rPr>
        <w:t xml:space="preserve"> así como la capacidad de comprender y responder preguntas. 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t>La nómina de los aspirantes es la siguiente: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Alcain, Julieta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Boggio, Verónica Inés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Boscaro, Nadia Victoria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Bragado, Laureano Fabián Tomás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Cámara, María de los Milagros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Cambindo Botto, Adrián Edgardo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Carballeda, Juan Manuel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Carlotto, Nicolás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Davies Sala, Carol Giselle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Fass, Mónica Irina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Fesser, Estefanía Aylén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Fina Martín, Joaquina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Filippi, Carla Valeria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Furman, Nicolás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Gabrielli, Matías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lastRenderedPageBreak/>
        <w:t>Gándara, Lautaro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García Solá, Martín Emilio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Godoy Herz, Micaela Analía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Gorojovsky, Natalia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Liberman, Ana Clara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Lucero, María Soledad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Lukin, Jerónimo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Mammi, Pablo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Marasco, Luciano Edmundo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Mateos, Julieta Lisa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Medina, María Victoria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Regalado González, José Javier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Román, Ernesto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Sánchez Lamas, Maximiliano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Schoijet, Alejandra Cecilia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Sganga, Leonardo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Sycz, Gabriela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Tomazic, Mariela Luján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Urdániz, Estefanía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Urtasún, Nicolás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Vilchez Larrea, Salomé Catalina</w:t>
      </w:r>
    </w:p>
    <w:p w:rsidR="00B00B7C" w:rsidRPr="00FA1BF3" w:rsidRDefault="00B00B7C" w:rsidP="00FA213F">
      <w:pPr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Wirth, Sonia Alejandra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0B7C" w:rsidRPr="00FA1BF3" w:rsidRDefault="00B00B7C" w:rsidP="00E0496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t>Los siguientes aspirantes no se presentaron a la prueba de oposición, razón por la cual fueron excluidos del orden de mérito.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Alcain, Julieta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Boggio, Verónica Inés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Boscaro, Nadia Victoria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Cámara, María de los Milagros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Fina Martín, Joaquina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Filippi, Carla Valeria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Liberman, Ana Clara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Lukin, Jerónimo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Marasco, Luciano Edmundo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Mateos, Julieta Lisa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Medina, María Victoria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Regalado González, José Javier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Román, Ernesto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Sánchez Lamas, Maximiliano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Schoijet, Alejandra Cecilia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Sganga, Leonardo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Urdániz, Estefanía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Urtasún, Nicolás</w:t>
      </w:r>
    </w:p>
    <w:p w:rsidR="00B00B7C" w:rsidRPr="00FA1BF3" w:rsidRDefault="00B00B7C" w:rsidP="00E0496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A1BF3">
        <w:rPr>
          <w:rFonts w:ascii="Arial" w:hAnsi="Arial" w:cs="Arial"/>
          <w:b/>
          <w:sz w:val="22"/>
          <w:szCs w:val="22"/>
          <w:lang w:val="es-ES_tradnl"/>
        </w:rPr>
        <w:t>Wirth, Sonia Alejandra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t>La jurado Ruth Amelia Heinz se abstuvo de opinar respecto de las pruebas de oposición de los aspirantes con los que tiene un vínculo de interacción académica y/o laboral: Mónica Fass y Soledad Lucero.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lastRenderedPageBreak/>
        <w:t xml:space="preserve">El Jurado </w:t>
      </w:r>
      <w:r>
        <w:rPr>
          <w:rFonts w:ascii="Arial" w:hAnsi="Arial" w:cs="Arial"/>
          <w:sz w:val="22"/>
          <w:szCs w:val="22"/>
        </w:rPr>
        <w:t xml:space="preserve">destaca la alta calidad de </w:t>
      </w:r>
      <w:r w:rsidRPr="00FA1BF3">
        <w:rPr>
          <w:rFonts w:ascii="Arial" w:hAnsi="Arial" w:cs="Arial"/>
          <w:sz w:val="22"/>
          <w:szCs w:val="22"/>
        </w:rPr>
        <w:t>las presentaciones</w:t>
      </w:r>
      <w:r>
        <w:rPr>
          <w:rFonts w:ascii="Arial" w:hAnsi="Arial" w:cs="Arial"/>
          <w:sz w:val="22"/>
          <w:szCs w:val="22"/>
        </w:rPr>
        <w:t>.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Pr="00FA1BF3" w:rsidRDefault="00B00B7C" w:rsidP="00E0496E">
      <w:pPr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t>Habiendo evaluado los antecedentes y la prueba de oposición de todos los aspirantes presentes, el Jurado pudo establecer los puntajes parciales y totales que se indican en la tabla a continuación. Lo</w:t>
      </w:r>
      <w:r>
        <w:rPr>
          <w:rFonts w:ascii="Arial" w:hAnsi="Arial" w:cs="Arial"/>
          <w:sz w:val="22"/>
          <w:szCs w:val="22"/>
        </w:rPr>
        <w:t>s puntajes totales de la última</w:t>
      </w:r>
      <w:r w:rsidRPr="00FA1BF3">
        <w:rPr>
          <w:rFonts w:ascii="Arial" w:hAnsi="Arial" w:cs="Arial"/>
          <w:sz w:val="22"/>
          <w:szCs w:val="22"/>
        </w:rPr>
        <w:t xml:space="preserve"> columna, mostrados en forma decreciente, determinan el orden de mérito establecido por este Jurado.</w:t>
      </w:r>
    </w:p>
    <w:p w:rsidR="00B00B7C" w:rsidRPr="009243FA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0B7C" w:rsidRPr="00C67348" w:rsidRDefault="00FC5242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101600</wp:posOffset>
            </wp:positionV>
            <wp:extent cx="5842000" cy="30099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</w:p>
    <w:p w:rsidR="00B00B7C" w:rsidRPr="00FA1BF3" w:rsidRDefault="00B00B7C" w:rsidP="00E0496E">
      <w:pPr>
        <w:ind w:left="1416" w:hanging="708"/>
        <w:rPr>
          <w:rFonts w:ascii="Arial" w:hAnsi="Arial" w:cs="Arial"/>
          <w:sz w:val="22"/>
          <w:szCs w:val="22"/>
          <w:lang w:val="es-AR"/>
        </w:rPr>
      </w:pPr>
      <w:r w:rsidRPr="00FA1BF3">
        <w:rPr>
          <w:rFonts w:ascii="Arial" w:hAnsi="Arial" w:cs="Arial"/>
          <w:sz w:val="22"/>
          <w:szCs w:val="22"/>
          <w:lang w:val="es-AR"/>
        </w:rPr>
        <w:t>Ruth Amelia Heinz</w:t>
      </w:r>
      <w:r w:rsidRPr="00FA1BF3">
        <w:rPr>
          <w:rFonts w:ascii="Arial" w:hAnsi="Arial" w:cs="Arial"/>
          <w:sz w:val="22"/>
          <w:szCs w:val="22"/>
          <w:lang w:val="es-AR"/>
        </w:rPr>
        <w:tab/>
        <w:t xml:space="preserve">     Laura Kamenetzky                  Natalia Rubinstein       </w:t>
      </w:r>
      <w:r w:rsidRPr="00FA1BF3">
        <w:rPr>
          <w:rFonts w:ascii="Arial" w:hAnsi="Arial" w:cs="Arial"/>
          <w:sz w:val="22"/>
          <w:szCs w:val="22"/>
        </w:rPr>
        <w:t xml:space="preserve">                 (Jurado)                              (Jurado)                               (Jurado)                     </w:t>
      </w:r>
    </w:p>
    <w:p w:rsidR="00B00B7C" w:rsidRPr="00FA1BF3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1BF3">
        <w:rPr>
          <w:rFonts w:ascii="Arial" w:hAnsi="Arial" w:cs="Arial"/>
          <w:sz w:val="22"/>
          <w:szCs w:val="22"/>
        </w:rPr>
        <w:tab/>
      </w:r>
    </w:p>
    <w:sectPr w:rsidR="00B00B7C" w:rsidRPr="00FA1BF3" w:rsidSect="00EC17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87"/>
    <w:rsid w:val="00020287"/>
    <w:rsid w:val="000F2A0A"/>
    <w:rsid w:val="00232AD4"/>
    <w:rsid w:val="002423C8"/>
    <w:rsid w:val="002A7941"/>
    <w:rsid w:val="006178A9"/>
    <w:rsid w:val="006326A3"/>
    <w:rsid w:val="0067642A"/>
    <w:rsid w:val="006A389C"/>
    <w:rsid w:val="0076077A"/>
    <w:rsid w:val="0078051D"/>
    <w:rsid w:val="00783A76"/>
    <w:rsid w:val="007A3DC0"/>
    <w:rsid w:val="009243FA"/>
    <w:rsid w:val="00A028E4"/>
    <w:rsid w:val="00A401EF"/>
    <w:rsid w:val="00A92425"/>
    <w:rsid w:val="00AA7B56"/>
    <w:rsid w:val="00B00B7C"/>
    <w:rsid w:val="00C67348"/>
    <w:rsid w:val="00D86C42"/>
    <w:rsid w:val="00DD5A3A"/>
    <w:rsid w:val="00E0496E"/>
    <w:rsid w:val="00EB6B8F"/>
    <w:rsid w:val="00EC174C"/>
    <w:rsid w:val="00F17427"/>
    <w:rsid w:val="00FA1BF3"/>
    <w:rsid w:val="00FA213F"/>
    <w:rsid w:val="00FA702E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268A2B1-8D87-4C4B-902E-744045B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E4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A7B56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76077A"/>
    <w:pPr>
      <w:jc w:val="both"/>
    </w:pPr>
    <w:rPr>
      <w:b/>
      <w:sz w:val="22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6077A"/>
    <w:rPr>
      <w:rFonts w:ascii="Times New Roman" w:hAnsi="Times New Roman" w:cs="Times New Roman"/>
      <w:b/>
      <w:sz w:val="22"/>
      <w:lang w:val="es-AR" w:eastAsia="es-ES"/>
    </w:rPr>
  </w:style>
  <w:style w:type="character" w:styleId="Refdecomentario">
    <w:name w:val="annotation reference"/>
    <w:basedOn w:val="Fuentedeprrafopredeter"/>
    <w:uiPriority w:val="99"/>
    <w:semiHidden/>
    <w:rsid w:val="00FA70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A70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A702E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A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A702E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A7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02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Docentes Auxiliares</vt:lpstr>
    </vt:vector>
  </TitlesOfParts>
  <Company>Microsoft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Docentes Auxiliares</dc:title>
  <dc:subject/>
  <dc:creator>Natalia</dc:creator>
  <cp:keywords/>
  <dc:description/>
  <cp:lastModifiedBy>Usuario</cp:lastModifiedBy>
  <cp:revision>2</cp:revision>
  <dcterms:created xsi:type="dcterms:W3CDTF">2016-07-05T13:13:00Z</dcterms:created>
  <dcterms:modified xsi:type="dcterms:W3CDTF">2016-07-05T13:13:00Z</dcterms:modified>
</cp:coreProperties>
</file>